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ХРАНЕНИЯ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«Поклажедатель», и ______________________________, именуемый(-ая) в дальнейшем «Хранитель»,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Хранитель обязуется хранить переданные ему Поклажедателем вещи и возвратить их в сохранности. Перечень вещей: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Общая стоимость вещей по оценке сторон — ____________ (____________________________________) рублей. Место хранения — ______________________________. Срок хранения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Хранение осуществляется безвозмездно. Необходимые расходы на хранение, не предусмотренные договором, возмещаются по согласованию сторон.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Хранитель обязан принять все меры для обеспечения сохранности вещей, не пользоваться ими и не передавать на хранение третьим лицам без согласия Поклажедателя, а при угрозе повреждения — незамедлительно уведомить Поклажедателя.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За утрату, недостачу или повреждение вещей Хранитель отвечает в размере их стоимости по оценке, указанной в договоре (ст. 902 ГК РФ), а при безвозмездном хранении — при наличии вины (ст. 401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Поклажедатель вправе забрать вещи досрочно в любое время. По окончании срока Поклажедатель обязан забрать вещи; передача и возврат оформляются подписями сторон в настоящем договоре или отдельным актом.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двух экземплярах. Подписывая договор, Хранитель подтверждает, что вещи по перечню получил.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Поклажедатель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Хранитель (вещи принял)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