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субаренды нежилого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именуемое(-ый, -ая) в дальнейшем «Арендатор», с одной стороны, и ______________________________ (______________________________), именуемое(-ый, -ая) в дальнейшем «Субарендатор»,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Арендатор передаёт Субарендатору во временное владение и пользование за плату ______________________________ в нежилом помещении по адресу: ______________________________ (далее — Помещение) для использования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Помещение принадлежит Арендатору на праве аренды по договору аренды ______________________________, заключённому с собственником — ______________________________ (далее — основной договор). Согласие арендодателя на передачу Помещения в субаренду получено: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Помещение передаётся по передаточному акту (ст. 655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СУБАРЕНДЫ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Срок субаренды — с «___» ____________ 20___ г. по «___» ____________ 20___ г. Срок субаренды не может превышать срок основного договора (п. 2 ст. 615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При досрочном прекращении основного договора настоящий договор прекращается. Субарендатор вправе требовать заключения с ним договора аренды на оставшийся срок субаренды на условиях основного договора (ст. 618 ГК РФ). Арендатор обязан уведомить Субарендатора о прекращении основного договора в течение 3 рабочих дней с момента, когда узнал об этом.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субаренду составляет ____________ (____________________________________) рублей в месяц, НДС не облагается, и вносится авансом не позднее ______-го числа текущего месяца на счёт Арендатора.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за коммунальные услуги и эксплуатационные расходы включена в плату за субаренду.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Субарендатор обязан использовать Помещение по назначению, соблюдать правила основного договора, относящиеся к использованию Помещения, режим работы здания, требования пожарной безопасности, не производить перепланировку и не передавать Помещение третьим лицам.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Арендатор обеспечивает Субарендатору доступ к Помещению и местам общего пользования и отвечает перед собственником по основному договору.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За просрочку платы Субарендатор уплачивает неустойку 0,1 % от просроченной суммы за каждый день. Любая из сторон вправе отказаться от договора, письменно предупредив другую сторону за 30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Если договор заключён на срок один год и более, он подлежит государственной регистрации (ст. 651 ГК РФ). Споры разрешаются в суде по месту нахождения Помещения после претензионного порядка (срок ответа на претензию — 10 рабочих дней).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 Приложения: план Помещения, передаточный акт, копия согласия арендодателя.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____________________________________________________________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Субарендатор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