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ХОДАТАЙСТВО</w:t>
      </w:r>
    </w:p>
    <w:p>
      <w:pPr>
        <w:spacing w:after="200" w:before="0"/>
        <w:jc w:val="center"/>
      </w:pPr>
      <w:r>
        <w:rPr>
          <w:b/>
          <w:sz w:val="24"/>
        </w:rPr>
        <w:t>о восстановлении срока обжалования постановления по делу об административном правонарушении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Одновременно с настоящим ходатайством мной подаётся жалоба на постановление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Срок обжалования пропущен мной по уважительной причине: ____________________________________________________________. Копию постановления я фактически получил(-а) ______________________________, после чего в разумный срок подготовил(-а) жалобу.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части 2 статьи 30.3 КоАП РФ в случае пропуска срока обжалования он по ходатайству лица, подающего жалобу, может быть восстановлен судьёй или должностным лицом, правомочными рассматривать жалобу.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прошу восстановить срок обжалования постановления ______________________________ и принять жалобу к рассмотрению.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жалоба на постановление; документы, подтверждающие уважительность причин пропуска срока.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срока обжалования постановления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