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признании утратившим право пользования жилым помещением и снятии с регистрационного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жилого помещения по адресу: ______________________________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указанном помещении зарегистрирован ответчик. Обстоятельства дела: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4 статьи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не сохраняется, если иное не установлено соглашением между собственником и бывшим членом его семьи.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1 статьи 35 ЖК РФ в случае прекращения права пользования жилым помещением гражданин обязан освободить его, а если не освобождает — подлежит выселению по требованию собственника на основании решения суда. Решение суда о признании утратившим право пользования является основанием для снятия гражданина с регистрационного учёта.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30, 31, 35 ЖК РФ, статьями 292, 304 ГК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______________________________ утратившим(-ей) право пользования жилым помещением по адресу: ______________________________;указать, что решение суда является основанием для снятия ответчика с регистрационного учёта по указанному адресу;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выписка из ЕГРН на жилое помещение;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выписка из домовой книги (справка о зарегистрированных лицах);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свидетельства о расторжении брака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требования об освобождении помещения и документы о его направлении;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акт о непроживании, квитанции об оплате ЖКУ;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утратившим право пользования жилым помещением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