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признании утратившим право пользования жилым помещением, выселении и снятии с регистрационного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жилого помещения по адресу: ______________________________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указанном помещении зарегистрирован ответчик. Обстоятельства дела: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4 статьи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не сохраняется, если иное не установлено соглашением между собственником и бывшим членом его семьи.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1 статьи 35 ЖК РФ в случае прекращения права пользования жилым помещением гражданин обязан освободить его, а если не освобождает — подлежит выселению по требованию собственника на основании решения суда. Решение суда о признании утратившим право пользования является основанием для снятия гражданина с регистрационного учёта.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30, 31, 35 ЖК РФ, статьями 292, 304 ГК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______________________________ утратившим(-ей) право пользования жилым помещением по адресу: ______________________________;выселить ______________________________ из жилого помещения по адресу: ______________________________ без предоставления другого жилого помещения;указать, что решение суда является основанием для снятия ответчика с регистрационного учёта по указанному адресу;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выписка из ЕГРН на жилое помещение;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выписка из домовой книги (справка о зарегистрированных лицах);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свидетельства о расторжении брака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требования об освобождении помещения и документы о его направлении;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акт о непроживании, квитанции об оплате ЖКУ;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выселении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