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неосновательного обогащения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я передал(-а) ответчику денежные средства в сумме ____________ (____________________________________) рублей: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Законных оснований для получения и удержания этих денег у ответчика нет: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1102 ГК РФ лицо, которое без установленных законом, иными правовыми актами или сделкой оснований приобрело или сберегло имущество за счёт другого лица, обязано возвратить последнему неосновательно приобретённое имущество. В силу пункта 2 статьи 1107 ГК РФ на сумму неосновательного денежного обогащения подлежат начислению проценты за пользование чужими средствами (ст. 395 ГК РФ) с того времени, когда приобретатель узнал или должен был узнать о неосновательности получения денежных средств. На дату подачи иска размер процентов составляет ____________ (____________________________________) рублей (расчёт прилагается).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395, 1102, 1107 ГК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неосновательное обогащение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проценты за пользование чужими денежными средствами ____________ (____________________________________) рублей на дату подачи иска, а также проценты по ст. 395 ГК РФ с даты, следующей за днём подачи иска, по день фактического возврата денежных средств;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расходы по уплате государственной пошлины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чек (выписка) о переводе денежных средств;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переписка с ответчиком, требование о возврате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расчёт процентов;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неосновательного обогащения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