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выплате задолженности по заработной плате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не выплачены причитающиеся суммы: ____________________________________________________________. Общая задолженность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22 и 136 ТК РФ работодатель обязан выплачивать заработную плату в полном размере в установленные сроки, а при увольнении — произвести окончательный расчёт в день увольнения (ст. 140 ТК РФ). За нарушение срока выплаты работодатель обязан уплатить денежную компенсацию не ниже 1/150 ключевой ставки Банка России от невыплаченной суммы за каждый день задержки (ст. 236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____ (______________) дней с даты получения претензии выплатить задолженность в сумме ____________ (____________________________________) рублей и компенсацию за задержку по статье 236 ТК РФ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противном случае я обращусь в Государственную инспекцию труда, прокуратуру и суд с требованиями о взыскании задолженности, компенсации и морального вреда.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работодателю о выплате зарплаты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