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55-к</w:t>
      </w:r>
    </w:p>
    <w:p>
      <w:pPr>
        <w:spacing w:after="200" w:before="0"/>
        <w:jc w:val="center"/>
      </w:pPr>
      <w:r>
        <w:rPr>
          <w:b/>
          <w:sz w:val="24"/>
        </w:rPr>
        <w:t>о переводе работника на дистанционную работу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312.1, 312.2 Трудового кодекса Российской Федерации и дополнительное соглашение № 3 от 23.10.2026 к трудовому договору № 15 от 10.01.2024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Перевести менеджера по работе с клиентами Белову Анну Игоревну на комбинированную (с чередованием периодов дистанционной работы и работы на стационарном рабочем месте) дистанционную работу с 1 ноября 2026 г.: понедельник и пятница — дистанционно, остальные дни — в офисе.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Установить порядок взаимодействия работника и работодателя: через корпоративную почту и мессенджер; время отклика на сообщения — не более 1 часа в рабочее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Выплачивать работнику компенсацию: 500 руб. в месяц за использование личного компьютера и интернета (ст. 312.6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Остальные условия трудового договора сохраняются. Отделу кадров ознакомить работника с приказом под подпись.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на дистанционную работу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