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конфиденциальности (неразглашении информации)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«ТехноСервис» (ИНН 7701000000) в лице генерального директора Миронова Алексея Викторовича, действующего на основании Устава (далее — Сторона 1) и ИП Захаров Михаил Юрьевич (ИНН 781000000000) (далее — Сторона 2), вместе именуемые «Стороны», заключили настоящее соглашение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Стороны обязуются не разглашать конфиденциальную информацию, полученную от другой Стороны в связи с целью: переговоры о разработке и внедрении CRM-системы и последующее исполнение договора о разработке, и использовать её исключительно для этой цели.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Конфиденциальной информацией являются: сведения о клиентах, ценах и условиях договоров, финансовые показатели, исходный код, техническая документация, бизнес-процессы, а также любая информация, переданная с пометкой «Конфиденциально» или «Коммерческая тайна».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Не является конфиденциальной информация, которая: была общедоступна на момент передачи или стала таковой не по вине получившей её Стороны; была законно получена от третьих лиц без обязательства о конфиденциальности; была известна получившей Стороне до её передачи; не может составлять коммерческую тайну в силу закона (ст. 5 Федерального закона «О коммерческой тайне»).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Получившая информацию Сторона обязуется: обеспечивать её защиту не ниже уровня защиты собственной конфиденциальной информации; предоставлять доступ только своим работникам и привлечённым лицам, которым она необходима для цели соглашения и которые связаны обязательствами о конфиденциальности не менее строгими; немедленно сообщать о фактах утечки.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Раскрытие информации по законному требованию суда или государственного органа не является нарушением, если Сторона, по возможности, заранее уведомила другую Сторону и раскрыла только требуемый объём.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По требованию передавшей Стороны получившая Сторона в течение 10 рабочих дней возвращает или уничтожает носители с конфиденциальной информацией и подтверждает это письменно.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СРОК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Соглашение вступает в силу с даты подписания. Обязательства о конфиденциальности действуют в течение всего срока отношений Сторон и 3 (три) лет после их прекращения.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 каждый случай разглашения конфиденциальной информации виновная Сторона уплачивает штраф в размере 500 000 (пятьсот тысяч) рублей 00 копеек, а также возмещает убытки в части, не покрытой штрафом.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Споры разрешаются в претензионном порядке (срок ответа — 10 календарных дней), а при недостижении согласия передаются на рассмотрение в Арбитражный суд города Москвы.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Генеральный директор Миронов А. В.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Индивидуальный предприниматель Захаров М. Ю.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