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об определении порядка и размера участия в оплате жилого помещения и коммунальных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собственники квартиры по адресу: ______________________________ (лицевой счёт № ______________________________): ______________________________ (далее — Собственник 1) и ______________________________ (далее — Собственник 2), руководствуясь статьёй 249 ГК РФ и статьёй 155 ЖК РФ,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определили следующий размер участия в расходах на оплату содержания жилого помещения, взносов на капитальный ремонт, отопления и коммунальных услуг, начисляемых по нормативу или по площади: Собственник 1 — ______________________________, Собственник 2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Стороны просят управляющую организацию, регионального оператора по обращению с ТКО, фонд капитального ремонта и ресурсоснабжающие организации начиная с ______________________________ открыть отдельные лицевые счета и выдавать каждому собственнику отдельный платёжный документ в соответствии с настоящим соглашением.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Каждая сторона самостоятельно отвечает за своевременность оплаты своей части. Задолженность, образовавшаяся до начала действия соглашения, погашается сторонами пропорционально их долям в праве собственности, если они не договорятся иначе.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Соглашение составлено в трёх экземплярах: по одному для сторон и один для управляющей организации. Копии передаются другим поставщикам услуг.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1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2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оплаты коммунальных услуг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