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рассрочке погашения задолженности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«Кредитор», и ______________________________, именуемый(-ая) в дальнейшем «Должник»,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Должник признаёт задолженность перед Кредитором по ______________________________ в сумме ____________ (____________________________________) рублей на дату подписания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Кредитор предоставляет Должнику рассрочку, а Должник обязуется погасить задолженность по следующему графику: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Платежи вносятся ______________________________. Должник вправе погасить задолженность досрочно полностью или частично.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Если Должник просрочит любой платёж более чем на ____ (______________) дней, Кредитор вправе потребовать досрочного погашения всей оставшейся задолженности, а Должник обязан погасить её в течение 10 дней со дня получения требования.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На период рассрочки при её соблюдении Кредитор не обращается в суд и не начисляет иных процентов и неустоек на сумму задолженности, кроме предусмотренных настоящим соглашением.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Соглашение составлено в двух экземплярах, по одному для каждой стороны, и вступает в силу с момента подписания.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Кредитор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Должник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рассрочке погашения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