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необходимости дать письменное объяснение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первой статьи 193 Трудового кодекса Российской Федерации ______________________________ просит Вас в течение двух рабочих дней со дня получения настоящего уведомления представить письменное объяснение по факту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Объяснение можно передать непосредственному руководителю или в отдел кадров. Если по истечении двух рабочих дней объяснение не будет представлено, будет составлен соответствующий акт (часть вторая статьи 193 Трудового кодекса Российской Федерации).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Уведомление получил(а): ________________ / ______________________________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письменного объяснения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