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другой день отдыха «___» ____________ 20___ г. за работу ______________________________ (ч. 4 ст. 153 ТК РФ). Работа в выходной день в этом случае оплачивается в одинарном размере.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отгул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