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______________________________</w:t>
        <w:br/>
      </w:r>
      <w:r>
        <w:rPr>
          <w:b w:val="0"/>
          <w:sz w:val="24"/>
        </w:rPr>
        <w:t>Исполнительное производство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расчёте задолженности по алиментам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вашем производстве находится исполнительное производство ______________________________, возбуждённое на основании: ______________________________, в отношении должника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113 СК РФ и статьёй 102 Федерального закона «Об исполнительном производстве» размер задолженности по алиментам определяется судебным приставом-исполнителем исходя из размера алиментов, установленного судебным актом. Если должник в период образования задолженности не работал или не представил документов о доходах, задолженность определяется исходя из размера средней заработной платы в Российской Федерации на момент взыскания задолженности.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произвести расчёт задолженности должника по алиментам за период ______________________________ и вынести постановление о расчёте задолженности;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направить мне копию постановления о расчёте задолженности;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принять меры по установлению доходов и имущества должника и обращению на них взыскания.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расчёте задолженности по алиментам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